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1392555" cy="1392555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92555" cy="139255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single"/>
          <w:shd w:fill="auto" w:val="clear"/>
          <w:vertAlign w:val="baseline"/>
          <w:rtl w:val="0"/>
        </w:rPr>
        <w:t xml:space="preserve">RESOLUÇÃO CMC Nº 0</w:t>
      </w: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u w:val="single"/>
          <w:rtl w:val="0"/>
        </w:rPr>
        <w:t xml:space="preserve">9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single"/>
          <w:shd w:fill="auto" w:val="clear"/>
          <w:vertAlign w:val="baseline"/>
          <w:rtl w:val="0"/>
        </w:rPr>
        <w:t xml:space="preserve">, DE</w:t>
      </w: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u w:val="single"/>
          <w:rtl w:val="0"/>
        </w:rPr>
        <w:t xml:space="preserve"> 17 DE OUTUBRO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single"/>
          <w:shd w:fill="auto" w:val="clear"/>
          <w:vertAlign w:val="baseline"/>
          <w:rtl w:val="0"/>
        </w:rPr>
        <w:t xml:space="preserve"> DE 202</w:t>
      </w: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u w:val="single"/>
          <w:rtl w:val="0"/>
        </w:rPr>
        <w:t xml:space="preserve">4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sz w:val="20.079999923706055"/>
          <w:szCs w:val="20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8.326416015625" w:line="240" w:lineRule="auto"/>
        <w:ind w:left="4320" w:right="43.5821533203125" w:firstLine="0"/>
        <w:jc w:val="righ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1"/>
          <w:sz w:val="22.079999923706055"/>
          <w:szCs w:val="22.079999923706055"/>
          <w:rtl w:val="0"/>
        </w:rPr>
        <w:t xml:space="preserve">Nomeação da Comissão de Leis e Afins do Conselho Municipal de Cultura de Taubaté.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8.326416015625" w:line="240" w:lineRule="auto"/>
        <w:ind w:left="4320" w:right="43.5821533203125" w:firstLine="0"/>
        <w:jc w:val="right"/>
        <w:rPr>
          <w:rFonts w:ascii="Calibri" w:cs="Calibri" w:eastAsia="Calibri" w:hAnsi="Calibri"/>
          <w:i w:val="1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.623992919921875" w:right="-4.14794921875" w:firstLine="0.220794677734375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O Conselho Municipal de Cultura de Taubaté – CMC, no uso das atribuições estabelecidas na  Lei Complementar nº 398, de 24 de novembro de 2016 (que dispõe sobre o Sistema Municipal  de Cultura e dá outras providências) e no seu Regimento Interno,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single"/>
          <w:shd w:fill="auto" w:val="clear"/>
          <w:vertAlign w:val="baseline"/>
          <w:rtl w:val="0"/>
        </w:rPr>
        <w:t xml:space="preserve">RESOLVE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.623992919921875" w:right="-4.14794921875" w:firstLine="0.220794677734375"/>
        <w:jc w:val="both"/>
        <w:rPr>
          <w:rFonts w:ascii="Calibri" w:cs="Calibri" w:eastAsia="Calibri" w:hAnsi="Calibri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7.62939453125" w:line="279.2358112335205" w:lineRule="auto"/>
        <w:ind w:left="0" w:right="-4.378662109375" w:firstLine="0"/>
        <w:jc w:val="both"/>
        <w:rPr>
          <w:rFonts w:ascii="Calibri" w:cs="Calibri" w:eastAsia="Calibri" w:hAnsi="Calibri"/>
          <w:sz w:val="22.079999923706055"/>
          <w:szCs w:val="22.079999923706055"/>
        </w:rPr>
      </w:pP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rtl w:val="0"/>
        </w:rPr>
        <w:t xml:space="preserve">Art1º - NOMEAR os integrantes para a Comissão Permanente de Leis e Afins, criada nos termos da Resolução CMC 003/2020: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177.62939453125" w:line="279.2358112335205" w:lineRule="auto"/>
        <w:ind w:left="720" w:right="-4.378662109375" w:hanging="360"/>
        <w:jc w:val="both"/>
        <w:rPr>
          <w:rFonts w:ascii="Calibri" w:cs="Calibri" w:eastAsia="Calibri" w:hAnsi="Calibri"/>
          <w:sz w:val="22.079999923706055"/>
          <w:szCs w:val="22.079999923706055"/>
          <w:u w:val="none"/>
        </w:rPr>
      </w:pP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rtl w:val="0"/>
        </w:rPr>
        <w:t xml:space="preserve">Natália A. C. Sauer Recco,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9.2358112335205" w:lineRule="auto"/>
        <w:ind w:left="720" w:right="-4.378662109375" w:hanging="360"/>
        <w:jc w:val="both"/>
        <w:rPr>
          <w:rFonts w:ascii="Calibri" w:cs="Calibri" w:eastAsia="Calibri" w:hAnsi="Calibri"/>
          <w:sz w:val="22.079999923706055"/>
          <w:szCs w:val="22.079999923706055"/>
          <w:u w:val="none"/>
        </w:rPr>
      </w:pP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rtl w:val="0"/>
        </w:rPr>
        <w:t xml:space="preserve">Danillo Soledade Yared de Barros,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9.2358112335205" w:lineRule="auto"/>
        <w:ind w:left="720" w:right="-4.378662109375" w:hanging="360"/>
        <w:jc w:val="both"/>
        <w:rPr>
          <w:rFonts w:ascii="Calibri" w:cs="Calibri" w:eastAsia="Calibri" w:hAnsi="Calibri"/>
          <w:sz w:val="22.079999923706055"/>
          <w:szCs w:val="22.079999923706055"/>
          <w:u w:val="none"/>
        </w:rPr>
      </w:pP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rtl w:val="0"/>
        </w:rPr>
        <w:t xml:space="preserve">Monique Reis Barreto,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9.2358112335205" w:lineRule="auto"/>
        <w:ind w:left="720" w:right="-4.378662109375" w:hanging="360"/>
        <w:jc w:val="both"/>
        <w:rPr>
          <w:rFonts w:ascii="Calibri" w:cs="Calibri" w:eastAsia="Calibri" w:hAnsi="Calibri"/>
          <w:sz w:val="22.079999923706055"/>
          <w:szCs w:val="22.079999923706055"/>
          <w:u w:val="none"/>
        </w:rPr>
      </w:pP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rtl w:val="0"/>
        </w:rPr>
        <w:t xml:space="preserve">Julio César Minari, e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beforeAutospacing="0" w:line="279.2358112335205" w:lineRule="auto"/>
        <w:ind w:left="720" w:right="-4.378662109375" w:hanging="360"/>
        <w:jc w:val="both"/>
        <w:rPr>
          <w:rFonts w:ascii="Calibri" w:cs="Calibri" w:eastAsia="Calibri" w:hAnsi="Calibri"/>
          <w:sz w:val="22.079999923706055"/>
          <w:szCs w:val="22.079999923706055"/>
          <w:u w:val="none"/>
        </w:rPr>
      </w:pP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rtl w:val="0"/>
        </w:rPr>
        <w:t xml:space="preserve">Rosangela Cândido Soares.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7.62939453125" w:line="279.2358112335205" w:lineRule="auto"/>
        <w:ind w:left="0" w:right="-4.378662109375" w:firstLine="0"/>
        <w:jc w:val="both"/>
        <w:rPr>
          <w:rFonts w:ascii="Calibri" w:cs="Calibri" w:eastAsia="Calibri" w:hAnsi="Calibri"/>
          <w:sz w:val="22.079999923706055"/>
          <w:szCs w:val="22.079999923706055"/>
        </w:rPr>
      </w:pP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rtl w:val="0"/>
        </w:rPr>
        <w:t xml:space="preserve">Art. 2º - A Comissão Permanente de Leis e Afins fica aberta para a adesão de novos membros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9.2358112335205" w:lineRule="auto"/>
        <w:ind w:left="0" w:right="-4.378662109375" w:firstLine="0"/>
        <w:jc w:val="both"/>
        <w:rPr>
          <w:rFonts w:ascii="Calibri" w:cs="Calibri" w:eastAsia="Calibri" w:hAnsi="Calibri"/>
          <w:sz w:val="22.079999923706055"/>
          <w:szCs w:val="22.079999923706055"/>
        </w:rPr>
      </w:pP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rtl w:val="0"/>
        </w:rPr>
        <w:t xml:space="preserve">que tiverem interesse na participação.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9.2358112335205" w:lineRule="auto"/>
        <w:ind w:left="0" w:right="-4.378662109375" w:firstLine="0"/>
        <w:jc w:val="both"/>
        <w:rPr>
          <w:rFonts w:ascii="Calibri" w:cs="Calibri" w:eastAsia="Calibri" w:hAnsi="Calibri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9.2358112335205" w:lineRule="auto"/>
        <w:ind w:left="0" w:right="-4.378662109375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rtl w:val="0"/>
        </w:rPr>
        <w:t xml:space="preserve">Art. 3º - Esta Resolução entra em vigor na data de sua publicação.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0.7266235351562" w:line="240" w:lineRule="auto"/>
        <w:ind w:left="0" w:right="39.9066162109375" w:firstLine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Taubaté, </w:t>
      </w: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rtl w:val="0"/>
        </w:rPr>
        <w:t xml:space="preserve">17 de outubro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de 202</w:t>
      </w: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rtl w:val="0"/>
        </w:rPr>
        <w:t xml:space="preserve">4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0.7266235351562" w:line="240" w:lineRule="auto"/>
        <w:ind w:left="0" w:right="39.9066162109375" w:firstLine="0"/>
        <w:jc w:val="left"/>
        <w:rPr>
          <w:rFonts w:ascii="Calibri" w:cs="Calibri" w:eastAsia="Calibri" w:hAnsi="Calibri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Pedro Henrique Rubim Alves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br w:type="textWrapping"/>
        <w:t xml:space="preserve">Presidente do CMC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5.4399108886719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563c1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6820" w:w="11900" w:orient="portrait"/>
      <w:pgMar w:bottom="1306.0800170898438" w:top="708.00048828125" w:left="1705.8335876464844" w:right="1650.452880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widowControl w:val="0"/>
      <w:spacing w:before="785.4399108886719" w:line="240" w:lineRule="auto"/>
      <w:jc w:val="center"/>
      <w:rPr/>
    </w:pPr>
    <w:r w:rsidDel="00000000" w:rsidR="00000000" w:rsidRPr="00000000">
      <w:rPr>
        <w:rFonts w:ascii="Calibri" w:cs="Calibri" w:eastAsia="Calibri" w:hAnsi="Calibri"/>
        <w:sz w:val="22.079999923706055"/>
        <w:szCs w:val="22.079999923706055"/>
        <w:rtl w:val="0"/>
      </w:rPr>
      <w:t xml:space="preserve">Conselho Municipal de Cultura de Taubaté – CMC – </w:t>
    </w:r>
    <w:r w:rsidDel="00000000" w:rsidR="00000000" w:rsidRPr="00000000">
      <w:rPr>
        <w:rFonts w:ascii="Calibri" w:cs="Calibri" w:eastAsia="Calibri" w:hAnsi="Calibri"/>
        <w:color w:val="0563c1"/>
        <w:sz w:val="22.079999923706055"/>
        <w:szCs w:val="22.079999923706055"/>
        <w:u w:val="single"/>
        <w:rtl w:val="0"/>
      </w:rPr>
      <w:t xml:space="preserve">cmc.taubate@gmail.com</w:t>
    </w:r>
    <w:r w:rsidDel="00000000" w:rsidR="00000000" w:rsidRPr="00000000">
      <w:rPr>
        <w:rFonts w:ascii="Calibri" w:cs="Calibri" w:eastAsia="Calibri" w:hAnsi="Calibri"/>
        <w:color w:val="0563c1"/>
        <w:sz w:val="22.079999923706055"/>
        <w:szCs w:val="22.079999923706055"/>
        <w:rtl w:val="0"/>
      </w:rPr>
      <w:t xml:space="preserve"> 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